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160" w:type="dxa"/>
        <w:jc w:val="center"/>
        <w:tblCellSpacing w:w="0" w:type="dxa"/>
        <w:tblInd w:w="73" w:type="dxa"/>
        <w:shd w:val="clear"/>
        <w:tblLayout w:type="fixed"/>
        <w:tblCellMar>
          <w:top w:w="0" w:type="dxa"/>
          <w:left w:w="0" w:type="dxa"/>
          <w:bottom w:w="0" w:type="dxa"/>
          <w:right w:w="0" w:type="dxa"/>
        </w:tblCellMar>
      </w:tblPr>
      <w:tblGrid>
        <w:gridCol w:w="8160"/>
      </w:tblGrid>
      <w:tr>
        <w:tblPrEx>
          <w:shd w:val="clear"/>
          <w:tblLayout w:type="fixed"/>
          <w:tblCellMar>
            <w:top w:w="0" w:type="dxa"/>
            <w:left w:w="0" w:type="dxa"/>
            <w:bottom w:w="0" w:type="dxa"/>
            <w:right w:w="0" w:type="dxa"/>
          </w:tblCellMar>
        </w:tblPrEx>
        <w:trPr>
          <w:trHeight w:val="13372" w:hRule="atLeast"/>
          <w:tblCellSpacing w:w="0" w:type="dxa"/>
          <w:jc w:val="center"/>
        </w:trPr>
        <w:tc>
          <w:tcPr>
            <w:tcW w:w="8160" w:type="dxa"/>
            <w:shd w:val="clear"/>
            <w:vAlign w:val="center"/>
          </w:tcPr>
          <w:tbl>
            <w:tblPr>
              <w:tblW w:w="8160" w:type="dxa"/>
              <w:tblCellSpacing w:w="15" w:type="dxa"/>
              <w:tblInd w:w="0" w:type="dxa"/>
              <w:shd w:val="clear"/>
              <w:tblLayout w:type="fixed"/>
              <w:tblCellMar>
                <w:top w:w="15" w:type="dxa"/>
                <w:left w:w="15" w:type="dxa"/>
                <w:bottom w:w="15" w:type="dxa"/>
                <w:right w:w="15" w:type="dxa"/>
              </w:tblCellMar>
            </w:tblPr>
            <w:tblGrid>
              <w:gridCol w:w="8160"/>
            </w:tblGrid>
            <w:tr>
              <w:tblPrEx>
                <w:shd w:val="clear"/>
                <w:tblLayout w:type="fixed"/>
                <w:tblCellMar>
                  <w:top w:w="15" w:type="dxa"/>
                  <w:left w:w="15" w:type="dxa"/>
                  <w:bottom w:w="15" w:type="dxa"/>
                  <w:right w:w="15" w:type="dxa"/>
                </w:tblCellMar>
              </w:tblPrEx>
              <w:trPr>
                <w:tblCellSpacing w:w="15" w:type="dxa"/>
              </w:trPr>
              <w:tc>
                <w:tcPr>
                  <w:tcW w:w="8100" w:type="dxa"/>
                  <w:shd w:val="clear"/>
                  <w:vAlign w:val="center"/>
                </w:tcPr>
                <w:p>
                  <w:pPr>
                    <w:pStyle w:val="2"/>
                    <w:keepNext w:val="0"/>
                    <w:keepLines w:val="0"/>
                    <w:widowControl/>
                    <w:suppressLineNumbers w:val="0"/>
                    <w:jc w:val="center"/>
                  </w:pPr>
                  <w:r>
                    <w:rPr>
                      <w:rStyle w:val="5"/>
                      <w:color w:val="FF0000"/>
                      <w:sz w:val="57"/>
                      <w:szCs w:val="57"/>
                    </w:rPr>
                    <w:t>云南省财政厅</w:t>
                  </w:r>
                </w:p>
              </w:tc>
            </w:tr>
          </w:tbl>
          <w:p>
            <w:pPr>
              <w:pStyle w:val="2"/>
              <w:keepNext w:val="0"/>
              <w:keepLines w:val="0"/>
              <w:widowControl/>
              <w:suppressLineNumbers w:val="0"/>
              <w:jc w:val="center"/>
            </w:pPr>
            <w:r>
              <w:t>云财采〔2016〕22号</w:t>
            </w:r>
          </w:p>
          <w:p>
            <w:pPr>
              <w:keepNext w:val="0"/>
              <w:keepLines w:val="0"/>
              <w:widowControl/>
              <w:suppressLineNumbers w:val="0"/>
              <w:rPr>
                <w:color w:val="FF0000"/>
              </w:rPr>
            </w:pPr>
            <w:r>
              <w:pict>
                <v:rect id="_x0000_i1025" o:spt="1" style="height:2.25pt;width:408pt;" fillcolor="#FF0000" filled="t" stroked="f" coordsize="21600,21600" o:hr="t" o:hrstd="t" o:hrnoshade="t" o:hralign="center">
                  <v:path/>
                  <v:fill on="t" focussize="0,0"/>
                  <v:stroke on="f"/>
                  <v:imagedata o:title=""/>
                  <o:lock v:ext="edit"/>
                  <w10:wrap type="none"/>
                  <w10:anchorlock/>
                </v:rect>
              </w:pict>
            </w:r>
          </w:p>
          <w:tbl>
            <w:tblPr>
              <w:tblW w:w="7344" w:type="dxa"/>
              <w:jc w:val="center"/>
              <w:tblCellSpacing w:w="0" w:type="dxa"/>
              <w:tblInd w:w="408" w:type="dxa"/>
              <w:shd w:val="clear"/>
              <w:tblLayout w:type="fixed"/>
              <w:tblCellMar>
                <w:top w:w="0" w:type="dxa"/>
                <w:left w:w="0" w:type="dxa"/>
                <w:bottom w:w="0" w:type="dxa"/>
                <w:right w:w="0" w:type="dxa"/>
              </w:tblCellMar>
            </w:tblPr>
            <w:tblGrid>
              <w:gridCol w:w="7344"/>
            </w:tblGrid>
            <w:tr>
              <w:tblPrEx>
                <w:tblLayout w:type="fixed"/>
                <w:tblCellMar>
                  <w:top w:w="0" w:type="dxa"/>
                  <w:left w:w="0" w:type="dxa"/>
                  <w:bottom w:w="0" w:type="dxa"/>
                  <w:right w:w="0" w:type="dxa"/>
                </w:tblCellMar>
              </w:tblPrEx>
              <w:trPr>
                <w:tblCellSpacing w:w="0" w:type="dxa"/>
                <w:jc w:val="center"/>
              </w:trPr>
              <w:tc>
                <w:tcPr>
                  <w:tcW w:w="7344"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blCellSpacing w:w="0" w:type="dxa"/>
                <w:jc w:val="center"/>
              </w:trPr>
              <w:tc>
                <w:tcPr>
                  <w:tcW w:w="7344"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blCellSpacing w:w="0" w:type="dxa"/>
                <w:jc w:val="center"/>
              </w:trPr>
              <w:tc>
                <w:tcPr>
                  <w:tcW w:w="7344" w:type="dxa"/>
                  <w:shd w:val="clear"/>
                  <w:vAlign w:val="center"/>
                </w:tcPr>
                <w:p>
                  <w:pPr>
                    <w:pStyle w:val="2"/>
                    <w:keepNext w:val="0"/>
                    <w:keepLines w:val="0"/>
                    <w:widowControl/>
                    <w:suppressLineNumbers w:val="0"/>
                    <w:jc w:val="center"/>
                  </w:pPr>
                  <w:bookmarkStart w:id="2" w:name="_GoBack"/>
                  <w:r>
                    <w:rPr>
                      <w:rStyle w:val="5"/>
                    </w:rPr>
                    <w:t>云南省财政厅关于合同履行期限不超过三年政府采购服务项目相关事宜的补充通知</w:t>
                  </w:r>
                  <w:bookmarkEnd w:id="2"/>
                </w:p>
              </w:tc>
            </w:tr>
            <w:tr>
              <w:tblPrEx>
                <w:shd w:val="clear"/>
                <w:tblLayout w:type="fixed"/>
                <w:tblCellMar>
                  <w:top w:w="0" w:type="dxa"/>
                  <w:left w:w="0" w:type="dxa"/>
                  <w:bottom w:w="0" w:type="dxa"/>
                  <w:right w:w="0" w:type="dxa"/>
                </w:tblCellMar>
              </w:tblPrEx>
              <w:trPr>
                <w:tblCellSpacing w:w="0" w:type="dxa"/>
                <w:jc w:val="center"/>
              </w:trPr>
              <w:tc>
                <w:tcPr>
                  <w:tcW w:w="7344"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blCellSpacing w:w="0" w:type="dxa"/>
                <w:jc w:val="center"/>
              </w:trPr>
              <w:tc>
                <w:tcPr>
                  <w:tcW w:w="7344"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blCellSpacing w:w="0" w:type="dxa"/>
                <w:jc w:val="center"/>
              </w:trPr>
              <w:tc>
                <w:tcPr>
                  <w:tcW w:w="7344" w:type="dxa"/>
                  <w:shd w:val="clear"/>
                  <w:vAlign w:val="top"/>
                </w:tcPr>
                <w:p>
                  <w:pPr>
                    <w:pStyle w:val="2"/>
                    <w:keepNext w:val="0"/>
                    <w:keepLines w:val="0"/>
                    <w:widowControl/>
                    <w:suppressLineNumbers w:val="0"/>
                    <w:jc w:val="left"/>
                  </w:pPr>
                  <w:r>
                    <w:t> </w:t>
                  </w:r>
                </w:p>
                <w:p>
                  <w:pPr>
                    <w:keepNext w:val="0"/>
                    <w:keepLines w:val="0"/>
                    <w:widowControl w:val="0"/>
                    <w:suppressLineNumbers w:val="0"/>
                    <w:adjustRightInd w:val="0"/>
                    <w:spacing w:before="0" w:beforeAutospacing="0" w:after="0" w:afterAutospacing="0" w:line="550" w:lineRule="exact"/>
                    <w:ind w:left="0" w:leftChars="0" w:right="0" w:rightChars="0"/>
                    <w:jc w:val="left"/>
                  </w:pPr>
                  <w:bookmarkStart w:id="0" w:name="MainSend"/>
                  <w:bookmarkEnd w:id="0"/>
                  <w:r>
                    <w:rPr>
                      <w:rFonts w:ascii="仿宋_GB2312" w:eastAsia="仿宋_GB2312" w:cs="仿宋_GB2312" w:hAnsiTheme="minorHAnsi"/>
                      <w:spacing w:val="14"/>
                      <w:kern w:val="2"/>
                      <w:sz w:val="30"/>
                      <w:szCs w:val="30"/>
                      <w:lang w:val="en-US" w:eastAsia="zh-CN" w:bidi="ar"/>
                    </w:rPr>
                    <w:t>省直各部、委、办、厅、局，各事业单位，各人民团体，各州、市财政局，镇雄县、宣威市、腾冲市财政局：</w:t>
                  </w:r>
                </w:p>
                <w:p>
                  <w:pPr>
                    <w:keepNext w:val="0"/>
                    <w:keepLines w:val="0"/>
                    <w:widowControl w:val="0"/>
                    <w:suppressLineNumbers w:val="0"/>
                    <w:spacing w:before="0" w:beforeAutospacing="0" w:after="0" w:afterAutospacing="0" w:line="550" w:lineRule="exact"/>
                    <w:ind w:left="0" w:leftChars="0" w:right="0" w:rightChars="0" w:firstLine="600" w:firstLineChars="200"/>
                    <w:jc w:val="both"/>
                  </w:pPr>
                  <w:r>
                    <w:rPr>
                      <w:rFonts w:hint="default" w:ascii="仿宋_GB2312" w:hAnsi="Times New Roman" w:eastAsia="仿宋_GB2312" w:cs="仿宋_GB2312"/>
                      <w:kern w:val="2"/>
                      <w:sz w:val="30"/>
                      <w:szCs w:val="30"/>
                      <w:lang w:val="en-US" w:eastAsia="zh-CN" w:bidi="ar"/>
                    </w:rPr>
                    <w:t>为提高政府采购项目采购活动实施及监管效率，简化管理程序和手续，根据《</w:t>
                  </w:r>
                  <w:r>
                    <w:rPr>
                      <w:rFonts w:hint="default" w:ascii="仿宋_GB2312" w:hAnsi="Times New Roman" w:eastAsia="仿宋_GB2312" w:cs="仿宋_GB2312"/>
                      <w:kern w:val="2"/>
                      <w:sz w:val="30"/>
                      <w:szCs w:val="30"/>
                      <w:shd w:val="clear" w:fill="FFFFFF"/>
                      <w:lang w:val="en-US" w:eastAsia="zh-CN" w:bidi="ar"/>
                    </w:rPr>
                    <w:t>国务院关于印发2016年推进简政放权放管结合优化服务改革工作要点的通知》（国发〔2016〕30号）</w:t>
                  </w:r>
                  <w:r>
                    <w:rPr>
                      <w:rFonts w:hint="default" w:ascii="仿宋_GB2312" w:hAnsi="Times New Roman" w:eastAsia="仿宋_GB2312" w:cs="仿宋_GB2312"/>
                      <w:kern w:val="2"/>
                      <w:sz w:val="30"/>
                      <w:szCs w:val="30"/>
                      <w:lang w:val="en-US" w:eastAsia="zh-CN" w:bidi="ar"/>
                    </w:rPr>
                    <w:t>和财政部、省政府相关精神，现将进一步简化采购人已签订不超过三年履行期限合同的政府采购服务项目管理的有关事项补充通知如下。</w:t>
                  </w:r>
                </w:p>
                <w:p>
                  <w:pPr>
                    <w:keepNext w:val="0"/>
                    <w:keepLines w:val="0"/>
                    <w:widowControl w:val="0"/>
                    <w:suppressLineNumbers w:val="0"/>
                    <w:spacing w:before="0" w:beforeAutospacing="0" w:after="0" w:afterAutospacing="0" w:line="550" w:lineRule="exact"/>
                    <w:ind w:left="0" w:leftChars="0" w:right="0" w:rightChars="0" w:firstLine="600" w:firstLineChars="200"/>
                    <w:jc w:val="both"/>
                  </w:pPr>
                  <w:r>
                    <w:rPr>
                      <w:rFonts w:hint="default" w:ascii="仿宋_GB2312" w:hAnsi="Times New Roman" w:eastAsia="仿宋_GB2312" w:cs="仿宋_GB2312"/>
                      <w:kern w:val="2"/>
                      <w:sz w:val="30"/>
                      <w:szCs w:val="30"/>
                      <w:lang w:val="en-US" w:eastAsia="zh-CN" w:bidi="ar"/>
                    </w:rPr>
                    <w:t>一、第一年已经按照两年或三年预算实施政府采购活动，合同也按照两年或三年总金额签订的政府采购项目，采购单位不需再进行第二年、第三年政府采购实施计划备案和合同备案；第一年按照一年预算实施政府采购活动，合同按照第一年金额签订的政府采购项目，价格未发生变化或价格发生变化且变化幅度在10％以内的，采购单位不需重复开展政府采购活动，但第二年、第三年需按年进行政府采购实施计划备案和合同备案，政府采购的组织形式和采购方式，与第一年实施的保持一致。</w:t>
                  </w:r>
                </w:p>
                <w:p>
                  <w:pPr>
                    <w:keepNext w:val="0"/>
                    <w:keepLines w:val="0"/>
                    <w:widowControl w:val="0"/>
                    <w:suppressLineNumbers w:val="0"/>
                    <w:spacing w:before="0" w:beforeAutospacing="0" w:after="0" w:afterAutospacing="0" w:line="550" w:lineRule="exact"/>
                    <w:ind w:left="0" w:leftChars="0" w:right="0" w:rightChars="0" w:firstLine="600" w:firstLineChars="200"/>
                    <w:jc w:val="both"/>
                  </w:pPr>
                  <w:r>
                    <w:rPr>
                      <w:rFonts w:hint="default" w:ascii="仿宋_GB2312" w:hAnsi="Times New Roman" w:eastAsia="仿宋_GB2312" w:cs="仿宋_GB2312"/>
                      <w:kern w:val="2"/>
                      <w:sz w:val="30"/>
                      <w:szCs w:val="30"/>
                      <w:lang w:val="en-US" w:eastAsia="zh-CN" w:bidi="ar"/>
                    </w:rPr>
                    <w:t>二、第二年、第三年需按年进行政府采购实施计划备案的政府采购项目，政府采购实施计划备案按当地政府采购监管部门要求进行。</w:t>
                  </w:r>
                </w:p>
                <w:p>
                  <w:pPr>
                    <w:keepNext w:val="0"/>
                    <w:keepLines w:val="0"/>
                    <w:widowControl w:val="0"/>
                    <w:suppressLineNumbers w:val="0"/>
                    <w:spacing w:before="0" w:beforeAutospacing="0" w:after="0" w:afterAutospacing="0" w:line="550" w:lineRule="exact"/>
                    <w:ind w:left="0" w:leftChars="0" w:right="0" w:rightChars="0" w:firstLine="600" w:firstLineChars="200"/>
                    <w:jc w:val="both"/>
                  </w:pPr>
                  <w:r>
                    <w:rPr>
                      <w:rFonts w:hint="default" w:ascii="仿宋_GB2312" w:hAnsi="Times New Roman" w:eastAsia="仿宋_GB2312" w:cs="仿宋_GB2312"/>
                      <w:kern w:val="2"/>
                      <w:sz w:val="30"/>
                      <w:szCs w:val="30"/>
                      <w:lang w:val="en-US" w:eastAsia="zh-CN" w:bidi="ar"/>
                    </w:rPr>
                    <w:t>三、第二年、第三年需按年进行合同备案的政府采购项目，采购单位应当按照《政府采购法实施条例》的规定，在政府采购合同签订后的2个工作日内，将政府采购合同电子版在</w:t>
                  </w:r>
                  <w:r>
                    <w:rPr>
                      <w:rFonts w:hint="default" w:ascii="仿宋_GB2312" w:hAnsi="华文仿宋" w:eastAsia="仿宋_GB2312" w:cs="仿宋_GB2312"/>
                      <w:kern w:val="2"/>
                      <w:sz w:val="30"/>
                      <w:szCs w:val="30"/>
                      <w:lang w:val="en-US" w:eastAsia="zh-CN" w:bidi="ar"/>
                    </w:rPr>
                    <w:t>云南省政府采购网（网址：</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"http://www.yngp.com/" </w:instrText>
                  </w:r>
                  <w:r>
                    <w:rPr>
                      <w:rFonts w:asciiTheme="minorHAnsi" w:hAnsiTheme="minorHAnsi" w:eastAsiaTheme="minorEastAsia" w:cstheme="minorBidi"/>
                      <w:kern w:val="0"/>
                      <w:sz w:val="24"/>
                      <w:szCs w:val="24"/>
                      <w:lang w:val="en-US" w:eastAsia="zh-CN" w:bidi="ar"/>
                    </w:rPr>
                    <w:fldChar w:fldCharType="separate"/>
                  </w:r>
                  <w:r>
                    <w:rPr>
                      <w:rStyle w:val="6"/>
                      <w:rFonts w:hint="default" w:ascii="仿宋_GB2312" w:hAnsi="华文仿宋" w:eastAsia="仿宋_GB2312" w:cs="仿宋_GB2312"/>
                      <w:color w:val="0000FF"/>
                      <w:kern w:val="2"/>
                      <w:sz w:val="30"/>
                      <w:szCs w:val="30"/>
                      <w:u w:val="single"/>
                    </w:rPr>
                    <w:t>www.yngp.com</w:t>
                  </w:r>
                  <w:r>
                    <w:rPr>
                      <w:rFonts w:asciiTheme="minorHAnsi" w:hAnsiTheme="minorHAnsi" w:eastAsiaTheme="minorEastAsia" w:cstheme="minorBidi"/>
                      <w:kern w:val="0"/>
                      <w:sz w:val="24"/>
                      <w:szCs w:val="24"/>
                      <w:lang w:val="en-US" w:eastAsia="zh-CN" w:bidi="ar"/>
                    </w:rPr>
                    <w:fldChar w:fldCharType="end"/>
                  </w:r>
                  <w:r>
                    <w:rPr>
                      <w:rFonts w:hint="default" w:ascii="仿宋_GB2312" w:hAnsi="华文仿宋" w:eastAsia="仿宋_GB2312" w:cs="仿宋_GB2312"/>
                      <w:kern w:val="2"/>
                      <w:sz w:val="30"/>
                      <w:szCs w:val="30"/>
                      <w:lang w:val="en-US" w:eastAsia="zh-CN" w:bidi="ar"/>
                    </w:rPr>
                    <w:t>）上进行公告；</w:t>
                  </w:r>
                  <w:r>
                    <w:rPr>
                      <w:rFonts w:hint="default" w:ascii="仿宋_GB2312" w:hAnsi="Times New Roman" w:eastAsia="仿宋_GB2312" w:cs="仿宋_GB2312"/>
                      <w:kern w:val="2"/>
                      <w:sz w:val="30"/>
                      <w:szCs w:val="30"/>
                      <w:lang w:val="en-US" w:eastAsia="zh-CN" w:bidi="ar"/>
                    </w:rPr>
                    <w:t>采购单位应当按照《政府采购法》的规定，在第二年、第三年政府采购合同签订后的7个工作日内，向同级财政政府采购监督管理部门进行合同备案，备案时提供加盖甲乙双方公章的合同，政府采购监督管理部门检查采购合同公告情况后应当接受采购单位合同备案。</w:t>
                  </w:r>
                </w:p>
                <w:p>
                  <w:pPr>
                    <w:keepNext w:val="0"/>
                    <w:keepLines w:val="0"/>
                    <w:widowControl w:val="0"/>
                    <w:suppressLineNumbers w:val="0"/>
                    <w:spacing w:before="0" w:beforeAutospacing="0" w:after="0" w:afterAutospacing="0" w:line="550" w:lineRule="exact"/>
                    <w:ind w:left="0" w:leftChars="0" w:right="0" w:rightChars="0" w:firstLine="600" w:firstLineChars="200"/>
                    <w:jc w:val="both"/>
                  </w:pPr>
                  <w:r>
                    <w:rPr>
                      <w:rFonts w:hint="default" w:ascii="仿宋_GB2312" w:hAnsi="Times New Roman" w:eastAsia="仿宋_GB2312" w:cs="仿宋_GB2312"/>
                      <w:kern w:val="2"/>
                      <w:sz w:val="30"/>
                      <w:szCs w:val="30"/>
                      <w:lang w:val="en-US" w:eastAsia="zh-CN" w:bidi="ar"/>
                    </w:rPr>
                    <w:t>《</w:t>
                  </w:r>
                  <w:r>
                    <w:rPr>
                      <w:rFonts w:hint="default" w:ascii="仿宋_GB2312" w:hAnsi="ˎ̥" w:eastAsia="仿宋_GB2312" w:cs="仿宋_GB2312"/>
                      <w:kern w:val="2"/>
                      <w:sz w:val="30"/>
                      <w:szCs w:val="30"/>
                      <w:lang w:val="en-US" w:eastAsia="zh-CN" w:bidi="ar"/>
                    </w:rPr>
                    <w:t>云南省财政厅关于政府采购服务项目合同履行期限相关事宜的通知</w:t>
                  </w:r>
                  <w:r>
                    <w:rPr>
                      <w:rFonts w:hint="default" w:ascii="仿宋_GB2312" w:hAnsi="Times New Roman" w:eastAsia="仿宋_GB2312" w:cs="仿宋_GB2312"/>
                      <w:kern w:val="2"/>
                      <w:sz w:val="30"/>
                      <w:szCs w:val="30"/>
                      <w:lang w:val="en-US" w:eastAsia="zh-CN" w:bidi="ar"/>
                    </w:rPr>
                    <w:t>》（</w:t>
                  </w:r>
                  <w:r>
                    <w:rPr>
                      <w:rFonts w:hint="default" w:ascii="仿宋_GB2312" w:hAnsi="ˎ̥" w:eastAsia="仿宋_GB2312" w:cs="仿宋_GB2312"/>
                      <w:kern w:val="0"/>
                      <w:sz w:val="30"/>
                      <w:szCs w:val="30"/>
                      <w:lang w:val="en-US" w:eastAsia="zh-CN" w:bidi="ar"/>
                    </w:rPr>
                    <w:t>云财采〔</w:t>
                  </w:r>
                  <w:r>
                    <w:rPr>
                      <w:rFonts w:hint="default" w:ascii="仿宋_GB2312" w:hAnsi="ˎ̥" w:eastAsia="仿宋_GB2312" w:cs="宋体"/>
                      <w:kern w:val="0"/>
                      <w:sz w:val="30"/>
                      <w:szCs w:val="30"/>
                      <w:lang w:val="en-US" w:eastAsia="zh-CN" w:bidi="ar"/>
                    </w:rPr>
                    <w:t>2015〕16号</w:t>
                  </w:r>
                  <w:r>
                    <w:rPr>
                      <w:rFonts w:hint="default" w:ascii="仿宋_GB2312" w:hAnsi="Times New Roman" w:eastAsia="仿宋_GB2312" w:cs="仿宋_GB2312"/>
                      <w:kern w:val="2"/>
                      <w:sz w:val="30"/>
                      <w:szCs w:val="30"/>
                      <w:lang w:val="en-US" w:eastAsia="zh-CN" w:bidi="ar"/>
                    </w:rPr>
                    <w:t>）规定与本文件规定不一致的，以本文件规定为准。</w:t>
                  </w:r>
                </w:p>
                <w:p>
                  <w:pPr>
                    <w:keepNext w:val="0"/>
                    <w:keepLines w:val="0"/>
                    <w:widowControl w:val="0"/>
                    <w:suppressLineNumbers w:val="0"/>
                    <w:spacing w:before="0" w:beforeAutospacing="0" w:after="0" w:afterAutospacing="0" w:line="550" w:lineRule="exact"/>
                    <w:ind w:right="0" w:rightChars="0"/>
                    <w:jc w:val="both"/>
                  </w:pPr>
                  <w:r>
                    <w:rPr>
                      <w:rFonts w:hint="default" w:ascii="仿宋_GB2312" w:eastAsia="仿宋_GB2312" w:cs="仿宋_GB2312" w:hAnsiTheme="minorHAnsi"/>
                      <w:kern w:val="2"/>
                      <w:sz w:val="30"/>
                      <w:szCs w:val="30"/>
                      <w:lang w:val="en-US" w:eastAsia="zh-CN" w:bidi="ar"/>
                    </w:rPr>
                    <w:t xml:space="preserve"> </w:t>
                  </w:r>
                  <w:r>
                    <w:rPr>
                      <w:rFonts w:hint="default" w:ascii="仿宋_GB2312" w:hAnsi="Times New Roman" w:eastAsia="仿宋_GB2312" w:cs="仿宋_GB2312"/>
                      <w:kern w:val="2"/>
                      <w:sz w:val="30"/>
                      <w:szCs w:val="30"/>
                      <w:lang w:val="en-US" w:eastAsia="zh-CN" w:bidi="ar"/>
                    </w:rPr>
                    <w:t xml:space="preserve"> </w:t>
                  </w:r>
                </w:p>
                <w:p>
                  <w:pPr>
                    <w:keepNext w:val="0"/>
                    <w:keepLines w:val="0"/>
                    <w:widowControl w:val="0"/>
                    <w:suppressLineNumbers w:val="0"/>
                    <w:spacing w:before="0" w:beforeAutospacing="0" w:after="0" w:afterAutospacing="0" w:line="550" w:lineRule="exact"/>
                    <w:ind w:left="0" w:right="0" w:firstLine="4200" w:firstLineChars="1400"/>
                    <w:jc w:val="both"/>
                  </w:pPr>
                  <w:r>
                    <w:rPr>
                      <w:rFonts w:hint="default" w:ascii="仿宋_GB2312" w:hAnsi="Times New Roman" w:eastAsia="仿宋_GB2312" w:cs="仿宋_GB2312"/>
                      <w:kern w:val="2"/>
                      <w:sz w:val="30"/>
                      <w:szCs w:val="30"/>
                      <w:lang w:val="en-US" w:eastAsia="zh-CN" w:bidi="ar"/>
                    </w:rPr>
                    <w:t xml:space="preserve">        云南省财政厅</w:t>
                  </w:r>
                </w:p>
                <w:p>
                  <w:pPr>
                    <w:keepNext w:val="0"/>
                    <w:keepLines w:val="0"/>
                    <w:widowControl w:val="0"/>
                    <w:suppressLineNumbers w:val="0"/>
                    <w:spacing w:before="0" w:beforeAutospacing="0" w:after="0" w:afterAutospacing="0" w:line="550" w:lineRule="exact"/>
                    <w:ind w:left="0" w:leftChars="0" w:right="0" w:rightChars="0" w:firstLine="4200" w:firstLineChars="1400"/>
                    <w:jc w:val="center"/>
                  </w:pPr>
                  <w:r>
                    <w:rPr>
                      <w:rFonts w:hint="default" w:ascii="仿宋_GB2312" w:hAnsi="Times New Roman" w:eastAsia="仿宋_GB2312" w:cs="仿宋_GB2312"/>
                      <w:kern w:val="2"/>
                      <w:sz w:val="30"/>
                      <w:szCs w:val="30"/>
                      <w:lang w:val="en-US" w:eastAsia="zh-CN" w:bidi="ar"/>
                    </w:rPr>
                    <w:t xml:space="preserve">      2016年9月2日</w:t>
                  </w:r>
                  <w:bookmarkStart w:id="1" w:name="attach"/>
                  <w:bookmarkEnd w:id="1"/>
                </w:p>
                <w:p>
                  <w:pPr>
                    <w:pStyle w:val="2"/>
                    <w:keepNext w:val="0"/>
                    <w:keepLines w:val="0"/>
                    <w:widowControl/>
                    <w:suppressLineNumbers w:val="0"/>
                    <w:jc w:val="left"/>
                  </w:pPr>
                  <w:r>
                    <w:t> </w:t>
                  </w:r>
                </w:p>
              </w:tc>
            </w:tr>
          </w:tbl>
          <w:p>
            <w:pPr>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F02D3"/>
    <w:rsid w:val="172F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sz w:val="27"/>
      <w:szCs w:val="27"/>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2019-04-08T03:24:00Z</dcterms:created>
  <dc:creator>时光倒流二十年918640</dc:creator>
  <cp:lastModifiedBy>时光倒流二十年918640</cp:lastModifiedBy>
  <dcterms:modified xsi:type="dcterms:W3CDTF">2019-04-08T03:25:05Z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