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选择承接培训机构评审参考表</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sz w:val="44"/>
          <w:szCs w:val="44"/>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heme="majorEastAsia" w:hAnsiTheme="majorEastAsia" w:eastAsiaTheme="majorEastAsia" w:cstheme="majorEastAsia"/>
          <w:b/>
          <w:bCs/>
          <w:sz w:val="32"/>
          <w:szCs w:val="32"/>
          <w:u w:val="single"/>
          <w:lang w:val="en-US" w:eastAsia="zh-CN"/>
        </w:rPr>
      </w:pPr>
      <w:r>
        <w:rPr>
          <w:rFonts w:hint="eastAsia" w:asciiTheme="majorEastAsia" w:hAnsiTheme="majorEastAsia" w:eastAsiaTheme="majorEastAsia" w:cstheme="majorEastAsia"/>
          <w:b/>
          <w:bCs/>
          <w:sz w:val="32"/>
          <w:szCs w:val="32"/>
          <w:lang w:eastAsia="zh-CN"/>
        </w:rPr>
        <w:t>机构名称：</w:t>
      </w:r>
      <w:r>
        <w:rPr>
          <w:rFonts w:hint="eastAsia" w:asciiTheme="majorEastAsia" w:hAnsiTheme="majorEastAsia" w:eastAsiaTheme="majorEastAsia" w:cstheme="majorEastAsia"/>
          <w:b/>
          <w:bCs/>
          <w:sz w:val="32"/>
          <w:szCs w:val="32"/>
          <w:u w:val="single"/>
          <w:lang w:val="en-US" w:eastAsia="zh-CN"/>
        </w:rPr>
        <w:t xml:space="preserve">                            </w:t>
      </w:r>
      <w:bookmarkStart w:id="0" w:name="_GoBack"/>
      <w:bookmarkEnd w:id="0"/>
    </w:p>
    <w:tbl>
      <w:tblPr>
        <w:tblStyle w:val="4"/>
        <w:tblpPr w:leftFromText="180" w:rightFromText="180" w:vertAnchor="text" w:horzAnchor="page" w:tblpX="1513" w:tblpY="862"/>
        <w:tblOverlap w:val="never"/>
        <w:tblW w:w="14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101"/>
        <w:gridCol w:w="4239"/>
        <w:gridCol w:w="6270"/>
        <w:gridCol w:w="91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30" w:type="dxa"/>
            <w:shd w:val="clear" w:color="auto" w:fill="auto"/>
            <w:vAlign w:val="center"/>
          </w:tcPr>
          <w:p>
            <w:pPr>
              <w:jc w:val="both"/>
              <w:rPr>
                <w:rFonts w:hint="eastAsia" w:asciiTheme="minorEastAsia" w:hAnsiTheme="minorEastAsia" w:eastAsiaTheme="minorEastAsia" w:cstheme="minorEastAsia"/>
                <w:b w:val="0"/>
                <w:bCs/>
                <w:sz w:val="32"/>
                <w:szCs w:val="32"/>
              </w:rPr>
            </w:pPr>
            <w:r>
              <w:rPr>
                <w:rFonts w:hint="eastAsia" w:ascii="宋体" w:hAnsi="宋体" w:eastAsia="宋体" w:cs="宋体"/>
                <w:sz w:val="21"/>
                <w:szCs w:val="21"/>
              </w:rPr>
              <w:t>序号</w:t>
            </w:r>
          </w:p>
        </w:tc>
        <w:tc>
          <w:tcPr>
            <w:tcW w:w="1101" w:type="dxa"/>
            <w:shd w:val="clear" w:color="auto" w:fill="auto"/>
            <w:vAlign w:val="center"/>
          </w:tcPr>
          <w:p>
            <w:pPr>
              <w:jc w:val="center"/>
              <w:rPr>
                <w:rFonts w:hint="eastAsia" w:asciiTheme="minorEastAsia" w:hAnsiTheme="minorEastAsia" w:eastAsiaTheme="minorEastAsia" w:cstheme="minorEastAsia"/>
                <w:b w:val="0"/>
                <w:bCs/>
                <w:sz w:val="32"/>
                <w:szCs w:val="32"/>
              </w:rPr>
            </w:pPr>
            <w:r>
              <w:rPr>
                <w:rFonts w:hint="eastAsia" w:ascii="宋体" w:hAnsi="宋体" w:eastAsia="宋体" w:cs="宋体"/>
                <w:sz w:val="21"/>
                <w:szCs w:val="21"/>
              </w:rPr>
              <w:t>评审内容</w:t>
            </w:r>
          </w:p>
        </w:tc>
        <w:tc>
          <w:tcPr>
            <w:tcW w:w="4239" w:type="dxa"/>
            <w:shd w:val="clear" w:color="auto" w:fill="auto"/>
            <w:vAlign w:val="center"/>
          </w:tcPr>
          <w:p>
            <w:pPr>
              <w:jc w:val="center"/>
              <w:rPr>
                <w:rFonts w:hint="eastAsia" w:asciiTheme="minorEastAsia" w:hAnsiTheme="minorEastAsia" w:eastAsiaTheme="minorEastAsia" w:cstheme="minorEastAsia"/>
                <w:b w:val="0"/>
                <w:bCs/>
                <w:sz w:val="32"/>
                <w:szCs w:val="32"/>
              </w:rPr>
            </w:pPr>
            <w:r>
              <w:rPr>
                <w:rFonts w:hint="eastAsia" w:ascii="宋体" w:hAnsi="宋体" w:eastAsia="宋体" w:cs="宋体"/>
                <w:sz w:val="21"/>
                <w:szCs w:val="21"/>
              </w:rPr>
              <w:t>评审参考标准</w:t>
            </w:r>
          </w:p>
        </w:tc>
        <w:tc>
          <w:tcPr>
            <w:tcW w:w="6270" w:type="dxa"/>
            <w:shd w:val="clear" w:color="auto" w:fill="auto"/>
            <w:vAlign w:val="center"/>
          </w:tcPr>
          <w:p>
            <w:pPr>
              <w:jc w:val="center"/>
              <w:rPr>
                <w:rFonts w:hint="eastAsia" w:asciiTheme="minorEastAsia" w:hAnsiTheme="minorEastAsia" w:eastAsiaTheme="minorEastAsia" w:cstheme="minorEastAsia"/>
                <w:b w:val="0"/>
                <w:bCs/>
                <w:sz w:val="32"/>
                <w:szCs w:val="32"/>
              </w:rPr>
            </w:pPr>
            <w:r>
              <w:rPr>
                <w:rFonts w:hint="eastAsia" w:ascii="宋体" w:hAnsi="宋体" w:eastAsia="宋体" w:cs="宋体"/>
                <w:sz w:val="21"/>
                <w:szCs w:val="21"/>
              </w:rPr>
              <w:t>评审方式</w:t>
            </w:r>
          </w:p>
        </w:tc>
        <w:tc>
          <w:tcPr>
            <w:tcW w:w="915" w:type="dxa"/>
            <w:shd w:val="clear" w:color="auto" w:fill="auto"/>
            <w:vAlign w:val="center"/>
          </w:tcPr>
          <w:p>
            <w:pPr>
              <w:jc w:val="center"/>
              <w:rPr>
                <w:rFonts w:hint="eastAsia" w:asciiTheme="minorEastAsia" w:hAnsiTheme="minorEastAsia" w:eastAsiaTheme="minorEastAsia" w:cstheme="minorEastAsia"/>
                <w:b w:val="0"/>
                <w:bCs/>
                <w:sz w:val="32"/>
                <w:szCs w:val="32"/>
                <w:lang w:eastAsia="zh-CN"/>
              </w:rPr>
            </w:pPr>
            <w:r>
              <w:rPr>
                <w:rFonts w:hint="eastAsia" w:ascii="宋体" w:hAnsi="宋体" w:eastAsia="宋体" w:cs="宋体"/>
                <w:sz w:val="21"/>
                <w:szCs w:val="21"/>
              </w:rPr>
              <w:t>得分</w:t>
            </w:r>
          </w:p>
        </w:tc>
        <w:tc>
          <w:tcPr>
            <w:tcW w:w="855" w:type="dxa"/>
            <w:shd w:val="clear" w:color="auto" w:fill="auto"/>
            <w:vAlign w:val="center"/>
          </w:tcPr>
          <w:p>
            <w:pPr>
              <w:jc w:val="center"/>
              <w:rPr>
                <w:rFonts w:hint="eastAsia" w:asciiTheme="minorEastAsia" w:hAnsiTheme="minorEastAsia" w:eastAsiaTheme="minorEastAsia" w:cstheme="minorEastAsia"/>
                <w:b w:val="0"/>
                <w:bCs/>
                <w:sz w:val="32"/>
                <w:szCs w:val="32"/>
                <w:lang w:eastAsia="zh-CN"/>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7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157" w:afterLines="50" w:line="48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一</w:t>
            </w:r>
          </w:p>
        </w:tc>
        <w:tc>
          <w:tcPr>
            <w:tcW w:w="1101" w:type="dxa"/>
            <w:shd w:val="clear" w:color="auto" w:fill="auto"/>
            <w:vAlign w:val="center"/>
          </w:tcPr>
          <w:p>
            <w:pPr>
              <w:rPr>
                <w:rFonts w:hint="eastAsia" w:ascii="宋体" w:hAnsi="宋体" w:eastAsia="宋体" w:cs="宋体"/>
                <w:sz w:val="21"/>
                <w:szCs w:val="21"/>
                <w:lang w:eastAsia="zh-CN"/>
              </w:rPr>
            </w:pPr>
            <w:r>
              <w:rPr>
                <w:rFonts w:hint="eastAsia"/>
              </w:rPr>
              <w:t>培训经历（20分）</w:t>
            </w:r>
          </w:p>
        </w:tc>
        <w:tc>
          <w:tcPr>
            <w:tcW w:w="4239" w:type="dxa"/>
            <w:shd w:val="clear" w:color="auto" w:fill="auto"/>
            <w:vAlign w:val="center"/>
          </w:tcPr>
          <w:p>
            <w:pPr>
              <w:rPr>
                <w:rFonts w:hint="eastAsia" w:ascii="宋体" w:hAnsi="宋体" w:eastAsia="宋体" w:cs="宋体"/>
                <w:sz w:val="21"/>
                <w:szCs w:val="21"/>
              </w:rPr>
            </w:pPr>
            <w:r>
              <w:rPr>
                <w:rFonts w:hint="eastAsia"/>
              </w:rPr>
              <w:t>以往承办职业技能培训和创业培训、网络创业讲师师资班、高校创业大赛的经历如何；是否有稳定的专职创业培训和技能培训教师。</w:t>
            </w:r>
          </w:p>
        </w:tc>
        <w:tc>
          <w:tcPr>
            <w:tcW w:w="6270" w:type="dxa"/>
            <w:shd w:val="clear" w:color="auto" w:fill="auto"/>
            <w:vAlign w:val="center"/>
          </w:tcPr>
          <w:p>
            <w:pPr>
              <w:rPr>
                <w:rFonts w:hint="eastAsia"/>
              </w:rPr>
            </w:pPr>
            <w:r>
              <w:rPr>
                <w:rFonts w:hint="eastAsia"/>
              </w:rPr>
              <w:t>1.查阅培训机构提供以往承办职业技能培训和创业培训、网络创业讲师师资班、高校创业大赛场次和结果。（10分）</w:t>
            </w:r>
          </w:p>
          <w:p>
            <w:pPr>
              <w:rPr>
                <w:rFonts w:hint="eastAsia" w:ascii="宋体" w:hAnsi="宋体" w:eastAsia="宋体" w:cs="宋体"/>
                <w:sz w:val="21"/>
                <w:szCs w:val="21"/>
                <w:lang w:val="en-US" w:eastAsia="zh-CN"/>
              </w:rPr>
            </w:pPr>
            <w:r>
              <w:rPr>
                <w:rFonts w:hint="eastAsia"/>
              </w:rPr>
              <w:t>2.查阅是否和专职创业培训和技能培训教师签订劳动合同及相关协议。（10分）</w:t>
            </w:r>
          </w:p>
        </w:tc>
        <w:tc>
          <w:tcPr>
            <w:tcW w:w="915" w:type="dxa"/>
            <w:shd w:val="clear" w:color="auto" w:fill="auto"/>
            <w:vAlign w:val="top"/>
          </w:tcPr>
          <w:p>
            <w:pPr>
              <w:keepNext w:val="0"/>
              <w:keepLines w:val="0"/>
              <w:pageBreakBefore w:val="0"/>
              <w:widowControl/>
              <w:kinsoku/>
              <w:wordWrap/>
              <w:overflowPunct/>
              <w:topLinePunct w:val="0"/>
              <w:autoSpaceDE/>
              <w:autoSpaceDN/>
              <w:bidi w:val="0"/>
              <w:adjustRightInd/>
              <w:snapToGrid/>
              <w:spacing w:after="157" w:afterLines="50" w:line="480" w:lineRule="auto"/>
              <w:jc w:val="both"/>
              <w:textAlignment w:val="auto"/>
              <w:rPr>
                <w:rFonts w:hint="eastAsia" w:ascii="宋体" w:hAnsi="宋体" w:eastAsia="宋体" w:cs="宋体"/>
                <w:sz w:val="21"/>
                <w:szCs w:val="21"/>
                <w:lang w:val="en-US" w:eastAsia="zh-CN"/>
              </w:rPr>
            </w:pPr>
          </w:p>
        </w:tc>
        <w:tc>
          <w:tcPr>
            <w:tcW w:w="855" w:type="dxa"/>
            <w:shd w:val="clear" w:color="auto" w:fill="auto"/>
            <w:vAlign w:val="top"/>
          </w:tcPr>
          <w:p>
            <w:pPr>
              <w:keepNext w:val="0"/>
              <w:keepLines w:val="0"/>
              <w:pageBreakBefore w:val="0"/>
              <w:widowControl/>
              <w:kinsoku/>
              <w:wordWrap/>
              <w:overflowPunct/>
              <w:topLinePunct w:val="0"/>
              <w:autoSpaceDE/>
              <w:autoSpaceDN/>
              <w:bidi w:val="0"/>
              <w:adjustRightInd/>
              <w:snapToGrid/>
              <w:spacing w:after="157" w:afterLines="50" w:line="480" w:lineRule="auto"/>
              <w:jc w:val="both"/>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7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157" w:afterLines="50" w:line="48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二</w:t>
            </w:r>
          </w:p>
        </w:tc>
        <w:tc>
          <w:tcPr>
            <w:tcW w:w="1101" w:type="dxa"/>
            <w:shd w:val="clear" w:color="auto" w:fill="auto"/>
            <w:vAlign w:val="center"/>
          </w:tcPr>
          <w:p>
            <w:pPr>
              <w:rPr>
                <w:rFonts w:hint="eastAsia" w:ascii="宋体" w:hAnsi="宋体" w:eastAsia="宋体" w:cs="宋体"/>
                <w:sz w:val="21"/>
                <w:szCs w:val="21"/>
                <w:lang w:eastAsia="zh-CN"/>
              </w:rPr>
            </w:pPr>
            <w:r>
              <w:rPr>
                <w:rFonts w:hint="eastAsia"/>
              </w:rPr>
              <w:t>教学实训主要设备数量（20分）</w:t>
            </w:r>
          </w:p>
        </w:tc>
        <w:tc>
          <w:tcPr>
            <w:tcW w:w="4239" w:type="dxa"/>
            <w:shd w:val="clear" w:color="auto" w:fill="auto"/>
            <w:vAlign w:val="center"/>
          </w:tcPr>
          <w:p>
            <w:pPr>
              <w:rPr>
                <w:rFonts w:hint="eastAsia" w:ascii="宋体" w:hAnsi="宋体" w:eastAsia="宋体" w:cs="宋体"/>
                <w:sz w:val="21"/>
                <w:szCs w:val="21"/>
              </w:rPr>
            </w:pPr>
            <w:r>
              <w:rPr>
                <w:rFonts w:hint="eastAsia"/>
              </w:rPr>
              <w:t>是否具备培训教学所需的教学和实操培训设备，数量有多少，能否满足培训需求。</w:t>
            </w:r>
          </w:p>
        </w:tc>
        <w:tc>
          <w:tcPr>
            <w:tcW w:w="6270" w:type="dxa"/>
            <w:shd w:val="clear" w:color="auto" w:fill="auto"/>
            <w:vAlign w:val="center"/>
          </w:tcPr>
          <w:p>
            <w:pPr>
              <w:rPr>
                <w:rFonts w:hint="eastAsia"/>
              </w:rPr>
            </w:pPr>
            <w:r>
              <w:rPr>
                <w:rFonts w:hint="eastAsia"/>
              </w:rPr>
              <w:t>查阅培训的主要设备清单及对应的实物照片：</w:t>
            </w:r>
          </w:p>
          <w:p>
            <w:pPr>
              <w:rPr>
                <w:rFonts w:hint="eastAsia"/>
              </w:rPr>
            </w:pPr>
            <w:r>
              <w:rPr>
                <w:rFonts w:hint="eastAsia"/>
              </w:rPr>
              <w:t>1.有固定办学场所，教学楼办公室，财务室。确保与实际相符。（5分）</w:t>
            </w:r>
          </w:p>
          <w:p>
            <w:pPr>
              <w:rPr>
                <w:rFonts w:hint="default" w:ascii="宋体" w:hAnsi="宋体" w:eastAsia="宋体" w:cs="宋体"/>
                <w:sz w:val="21"/>
                <w:szCs w:val="21"/>
                <w:lang w:val="en-US" w:eastAsia="zh-CN"/>
              </w:rPr>
            </w:pPr>
            <w:r>
              <w:rPr>
                <w:rFonts w:hint="eastAsia"/>
              </w:rPr>
              <w:t>2.按照工种明细表顺序提供实施设备清单或使用权证明。（15分）</w:t>
            </w:r>
          </w:p>
        </w:tc>
        <w:tc>
          <w:tcPr>
            <w:tcW w:w="91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157" w:afterLines="50" w:line="480" w:lineRule="auto"/>
              <w:textAlignment w:val="auto"/>
              <w:rPr>
                <w:rFonts w:hint="eastAsia" w:ascii="宋体" w:hAnsi="宋体" w:eastAsia="宋体" w:cs="宋体"/>
                <w:sz w:val="21"/>
                <w:szCs w:val="21"/>
                <w:lang w:val="en-US" w:eastAsia="zh-CN"/>
              </w:rPr>
            </w:pPr>
          </w:p>
        </w:tc>
        <w:tc>
          <w:tcPr>
            <w:tcW w:w="8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157" w:afterLines="50" w:line="480" w:lineRule="auto"/>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trPr>
        <w:tc>
          <w:tcPr>
            <w:tcW w:w="7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157" w:afterLines="50" w:line="48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三</w:t>
            </w:r>
          </w:p>
        </w:tc>
        <w:tc>
          <w:tcPr>
            <w:tcW w:w="1101" w:type="dxa"/>
            <w:shd w:val="clear" w:color="auto" w:fill="auto"/>
            <w:vAlign w:val="center"/>
          </w:tcPr>
          <w:p>
            <w:pPr>
              <w:rPr>
                <w:rFonts w:hint="eastAsia"/>
              </w:rPr>
            </w:pPr>
            <w:r>
              <w:rPr>
                <w:rFonts w:hint="eastAsia"/>
              </w:rPr>
              <w:t>专职教学管理人员及专兼职教师数量</w:t>
            </w:r>
          </w:p>
          <w:p>
            <w:pPr>
              <w:rPr>
                <w:rFonts w:hint="default" w:ascii="宋体" w:hAnsi="宋体" w:eastAsia="宋体" w:cs="宋体"/>
                <w:sz w:val="21"/>
                <w:szCs w:val="21"/>
                <w:lang w:val="en-US" w:eastAsia="zh-CN"/>
              </w:rPr>
            </w:pPr>
            <w:r>
              <w:rPr>
                <w:rFonts w:hint="eastAsia"/>
              </w:rPr>
              <w:t>（20分）</w:t>
            </w:r>
          </w:p>
        </w:tc>
        <w:tc>
          <w:tcPr>
            <w:tcW w:w="4239" w:type="dxa"/>
            <w:shd w:val="clear" w:color="auto" w:fill="auto"/>
            <w:vAlign w:val="center"/>
          </w:tcPr>
          <w:p>
            <w:pPr>
              <w:rPr>
                <w:rFonts w:hint="eastAsia" w:ascii="宋体" w:hAnsi="宋体" w:eastAsia="宋体" w:cs="宋体"/>
                <w:sz w:val="21"/>
                <w:szCs w:val="21"/>
              </w:rPr>
            </w:pPr>
            <w:r>
              <w:rPr>
                <w:rFonts w:hint="eastAsia"/>
              </w:rPr>
              <w:t>是否配备专职教学管理人员，数量和占比多少。每个培训工种能否做到配备2名以上理论课教师和实习指导教师。专兼职教师是否具有大专以上文化程度及中级以上专业技术职务任职资格或三级（高级）以上国家职业资格。</w:t>
            </w:r>
          </w:p>
        </w:tc>
        <w:tc>
          <w:tcPr>
            <w:tcW w:w="6270" w:type="dxa"/>
            <w:shd w:val="clear" w:color="auto" w:fill="auto"/>
            <w:vAlign w:val="center"/>
          </w:tcPr>
          <w:p>
            <w:pPr>
              <w:rPr>
                <w:rFonts w:hint="eastAsia" w:ascii="宋体" w:hAnsi="宋体" w:eastAsia="宋体" w:cs="宋体"/>
                <w:sz w:val="21"/>
                <w:szCs w:val="21"/>
              </w:rPr>
            </w:pPr>
            <w:r>
              <w:rPr>
                <w:rFonts w:hint="eastAsia"/>
              </w:rPr>
              <w:t>查阅专兼职教师学历证书、与教学岗位相应的专业技术职称证书、职业资格证书、职业技能等级证书扫描印件及每个工种配备教师情况证明材料。（20分）</w:t>
            </w:r>
          </w:p>
        </w:tc>
        <w:tc>
          <w:tcPr>
            <w:tcW w:w="915" w:type="dxa"/>
            <w:shd w:val="clear" w:color="auto" w:fill="auto"/>
            <w:vAlign w:val="top"/>
          </w:tcPr>
          <w:p>
            <w:pPr>
              <w:keepNext w:val="0"/>
              <w:keepLines w:val="0"/>
              <w:pageBreakBefore w:val="0"/>
              <w:widowControl/>
              <w:kinsoku/>
              <w:wordWrap/>
              <w:overflowPunct/>
              <w:topLinePunct w:val="0"/>
              <w:autoSpaceDE/>
              <w:autoSpaceDN/>
              <w:bidi w:val="0"/>
              <w:adjustRightInd/>
              <w:snapToGrid/>
              <w:spacing w:after="157" w:afterLines="50" w:line="480" w:lineRule="auto"/>
              <w:jc w:val="both"/>
              <w:textAlignment w:val="auto"/>
              <w:rPr>
                <w:rFonts w:hint="eastAsia" w:ascii="宋体" w:hAnsi="宋体" w:eastAsia="宋体" w:cs="宋体"/>
                <w:sz w:val="21"/>
                <w:szCs w:val="21"/>
              </w:rPr>
            </w:pPr>
          </w:p>
        </w:tc>
        <w:tc>
          <w:tcPr>
            <w:tcW w:w="855" w:type="dxa"/>
            <w:shd w:val="clear" w:color="auto" w:fill="auto"/>
            <w:vAlign w:val="top"/>
          </w:tcPr>
          <w:p>
            <w:pPr>
              <w:keepNext w:val="0"/>
              <w:keepLines w:val="0"/>
              <w:pageBreakBefore w:val="0"/>
              <w:widowControl/>
              <w:kinsoku/>
              <w:wordWrap/>
              <w:overflowPunct/>
              <w:topLinePunct w:val="0"/>
              <w:autoSpaceDE/>
              <w:autoSpaceDN/>
              <w:bidi w:val="0"/>
              <w:adjustRightInd/>
              <w:snapToGrid/>
              <w:spacing w:after="157" w:afterLines="50" w:line="480" w:lineRule="auto"/>
              <w:jc w:val="both"/>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7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157" w:afterLines="50" w:line="48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四</w:t>
            </w:r>
          </w:p>
        </w:tc>
        <w:tc>
          <w:tcPr>
            <w:tcW w:w="1101" w:type="dxa"/>
            <w:shd w:val="clear" w:color="auto" w:fill="auto"/>
            <w:vAlign w:val="center"/>
          </w:tcPr>
          <w:p>
            <w:pPr>
              <w:rPr>
                <w:rFonts w:hint="eastAsia" w:ascii="宋体" w:hAnsi="宋体" w:eastAsia="宋体" w:cs="宋体"/>
                <w:sz w:val="21"/>
                <w:szCs w:val="21"/>
              </w:rPr>
            </w:pPr>
            <w:r>
              <w:rPr>
                <w:rFonts w:hint="eastAsia"/>
              </w:rPr>
              <w:t>培训合格率（10分）</w:t>
            </w:r>
          </w:p>
        </w:tc>
        <w:tc>
          <w:tcPr>
            <w:tcW w:w="4239" w:type="dxa"/>
            <w:shd w:val="clear" w:color="auto" w:fill="auto"/>
            <w:vAlign w:val="center"/>
          </w:tcPr>
          <w:p>
            <w:pPr>
              <w:rPr>
                <w:rFonts w:hint="eastAsia" w:ascii="宋体" w:hAnsi="宋体" w:eastAsia="宋体" w:cs="宋体"/>
                <w:sz w:val="21"/>
                <w:szCs w:val="21"/>
              </w:rPr>
            </w:pPr>
            <w:r>
              <w:rPr>
                <w:rFonts w:hint="eastAsia"/>
              </w:rPr>
              <w:t>近3年以来培训机构开展技能培训，创业培训的培训合格率有多高。</w:t>
            </w:r>
          </w:p>
        </w:tc>
        <w:tc>
          <w:tcPr>
            <w:tcW w:w="6270" w:type="dxa"/>
            <w:shd w:val="clear" w:color="auto" w:fill="auto"/>
            <w:vAlign w:val="center"/>
          </w:tcPr>
          <w:p>
            <w:pPr>
              <w:rPr>
                <w:rFonts w:hint="eastAsia"/>
              </w:rPr>
            </w:pPr>
            <w:r>
              <w:rPr>
                <w:rFonts w:hint="eastAsia"/>
              </w:rPr>
              <w:t>1.培训机构有2年以上培训经验，且培训合格率在95%以上。（5分）</w:t>
            </w:r>
          </w:p>
          <w:p>
            <w:pPr>
              <w:rPr>
                <w:rFonts w:hint="eastAsia" w:ascii="宋体" w:hAnsi="宋体" w:eastAsia="宋体" w:cs="宋体"/>
                <w:sz w:val="21"/>
                <w:szCs w:val="21"/>
                <w:lang w:val="en-US" w:eastAsia="zh-CN"/>
              </w:rPr>
            </w:pPr>
            <w:r>
              <w:rPr>
                <w:rFonts w:hint="eastAsia"/>
              </w:rPr>
              <w:t>2.培训机构能有效开展相关培训，有吸引学生积极参加培训的措施和方法，有效提高学生的出勤率和培训的合格率。（5分）</w:t>
            </w:r>
          </w:p>
        </w:tc>
        <w:tc>
          <w:tcPr>
            <w:tcW w:w="915" w:type="dxa"/>
            <w:shd w:val="clear" w:color="auto" w:fill="auto"/>
            <w:vAlign w:val="top"/>
          </w:tcPr>
          <w:p>
            <w:pPr>
              <w:keepNext w:val="0"/>
              <w:keepLines w:val="0"/>
              <w:pageBreakBefore w:val="0"/>
              <w:widowControl/>
              <w:kinsoku/>
              <w:wordWrap/>
              <w:overflowPunct/>
              <w:topLinePunct w:val="0"/>
              <w:autoSpaceDE/>
              <w:autoSpaceDN/>
              <w:bidi w:val="0"/>
              <w:adjustRightInd/>
              <w:snapToGrid/>
              <w:spacing w:after="157" w:afterLines="50" w:line="480" w:lineRule="auto"/>
              <w:jc w:val="both"/>
              <w:textAlignment w:val="auto"/>
              <w:rPr>
                <w:rFonts w:hint="eastAsia" w:ascii="宋体" w:hAnsi="宋体" w:eastAsia="宋体" w:cs="宋体"/>
                <w:sz w:val="21"/>
                <w:szCs w:val="21"/>
                <w:lang w:val="en-US" w:eastAsia="zh-CN"/>
              </w:rPr>
            </w:pPr>
          </w:p>
        </w:tc>
        <w:tc>
          <w:tcPr>
            <w:tcW w:w="855" w:type="dxa"/>
            <w:shd w:val="clear" w:color="auto" w:fill="auto"/>
            <w:vAlign w:val="top"/>
          </w:tcPr>
          <w:p>
            <w:pPr>
              <w:keepNext w:val="0"/>
              <w:keepLines w:val="0"/>
              <w:pageBreakBefore w:val="0"/>
              <w:widowControl/>
              <w:kinsoku/>
              <w:wordWrap/>
              <w:overflowPunct/>
              <w:topLinePunct w:val="0"/>
              <w:autoSpaceDE/>
              <w:autoSpaceDN/>
              <w:bidi w:val="0"/>
              <w:adjustRightInd/>
              <w:snapToGrid/>
              <w:spacing w:after="157" w:afterLines="50" w:line="480" w:lineRule="auto"/>
              <w:jc w:val="both"/>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7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157" w:afterLines="50" w:line="48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五</w:t>
            </w:r>
          </w:p>
        </w:tc>
        <w:tc>
          <w:tcPr>
            <w:tcW w:w="1101" w:type="dxa"/>
            <w:shd w:val="clear" w:color="auto" w:fill="auto"/>
            <w:vAlign w:val="center"/>
          </w:tcPr>
          <w:p>
            <w:pPr>
              <w:rPr>
                <w:rFonts w:hint="eastAsia" w:ascii="宋体" w:hAnsi="宋体" w:eastAsia="宋体" w:cs="宋体"/>
                <w:sz w:val="21"/>
                <w:szCs w:val="21"/>
              </w:rPr>
            </w:pPr>
            <w:r>
              <w:rPr>
                <w:rFonts w:hint="eastAsia"/>
              </w:rPr>
              <w:t>培训教学内容（10分）</w:t>
            </w:r>
          </w:p>
        </w:tc>
        <w:tc>
          <w:tcPr>
            <w:tcW w:w="4239" w:type="dxa"/>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培训内容是否符合学生实际，是否与学生专业背景和就业方向一致，是否为今年高校拟培训工种。</w:t>
            </w:r>
          </w:p>
        </w:tc>
        <w:tc>
          <w:tcPr>
            <w:tcW w:w="6270" w:type="dxa"/>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查阅培训工种、教学计划。（10分）</w:t>
            </w:r>
          </w:p>
        </w:tc>
        <w:tc>
          <w:tcPr>
            <w:tcW w:w="915" w:type="dxa"/>
            <w:shd w:val="clear" w:color="auto" w:fill="auto"/>
            <w:vAlign w:val="top"/>
          </w:tcPr>
          <w:p>
            <w:pPr>
              <w:keepNext w:val="0"/>
              <w:keepLines w:val="0"/>
              <w:pageBreakBefore w:val="0"/>
              <w:widowControl/>
              <w:kinsoku/>
              <w:wordWrap/>
              <w:overflowPunct/>
              <w:topLinePunct w:val="0"/>
              <w:autoSpaceDE/>
              <w:autoSpaceDN/>
              <w:bidi w:val="0"/>
              <w:adjustRightInd/>
              <w:snapToGrid/>
              <w:spacing w:after="157" w:afterLines="50" w:line="480" w:lineRule="auto"/>
              <w:jc w:val="both"/>
              <w:textAlignment w:val="auto"/>
              <w:rPr>
                <w:rFonts w:hint="eastAsia" w:ascii="宋体" w:hAnsi="宋体" w:eastAsia="宋体" w:cs="宋体"/>
                <w:sz w:val="21"/>
                <w:szCs w:val="21"/>
              </w:rPr>
            </w:pPr>
          </w:p>
        </w:tc>
        <w:tc>
          <w:tcPr>
            <w:tcW w:w="855" w:type="dxa"/>
            <w:shd w:val="clear" w:color="auto" w:fill="auto"/>
            <w:vAlign w:val="top"/>
          </w:tcPr>
          <w:p>
            <w:pPr>
              <w:keepNext w:val="0"/>
              <w:keepLines w:val="0"/>
              <w:pageBreakBefore w:val="0"/>
              <w:widowControl/>
              <w:kinsoku/>
              <w:wordWrap/>
              <w:overflowPunct/>
              <w:topLinePunct w:val="0"/>
              <w:autoSpaceDE/>
              <w:autoSpaceDN/>
              <w:bidi w:val="0"/>
              <w:adjustRightInd/>
              <w:snapToGrid/>
              <w:spacing w:after="157" w:afterLines="50" w:line="480" w:lineRule="auto"/>
              <w:jc w:val="both"/>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73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157" w:afterLines="50" w:line="48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六</w:t>
            </w:r>
          </w:p>
        </w:tc>
        <w:tc>
          <w:tcPr>
            <w:tcW w:w="1101" w:type="dxa"/>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促进就业措施（20分）</w:t>
            </w:r>
          </w:p>
        </w:tc>
        <w:tc>
          <w:tcPr>
            <w:tcW w:w="4239" w:type="dxa"/>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培训机构是否与人力资源公司、用工企业、职业介绍机构开展劳务合作，合作情况怎样。是否在培训过程中通过招聘会、发布岗位信息、邀请用人单位现场招聘等方式主动为培训学员推荐就业岗位，促进培训学员及时就业。</w:t>
            </w:r>
          </w:p>
        </w:tc>
        <w:tc>
          <w:tcPr>
            <w:tcW w:w="6270" w:type="dxa"/>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1、查阅培训机构与人力资源公司、用工企业、职业介绍机构等单位的劳务合作协议、劳务合作单位的法人代表人身份证明、营业执照。查阅培训机构主动为培训学员推荐就业岗位的工作资料。（15分）</w:t>
            </w:r>
          </w:p>
          <w:p>
            <w:pPr>
              <w:rPr>
                <w:rFonts w:hint="eastAsia" w:ascii="宋体" w:hAnsi="宋体" w:eastAsia="宋体" w:cs="宋体"/>
                <w:sz w:val="21"/>
                <w:szCs w:val="21"/>
                <w:lang w:val="en-US" w:eastAsia="zh-CN"/>
              </w:rPr>
            </w:pPr>
            <w:r>
              <w:rPr>
                <w:rFonts w:hint="eastAsia" w:ascii="宋体" w:hAnsi="宋体" w:eastAsia="宋体" w:cs="宋体"/>
                <w:sz w:val="21"/>
                <w:szCs w:val="21"/>
              </w:rPr>
              <w:t>2、学生接受培训后是否有效提升了就业能力，有何测评手段？（5分）</w:t>
            </w:r>
          </w:p>
        </w:tc>
        <w:tc>
          <w:tcPr>
            <w:tcW w:w="915" w:type="dxa"/>
            <w:shd w:val="clear" w:color="auto" w:fill="auto"/>
            <w:vAlign w:val="top"/>
          </w:tcPr>
          <w:p>
            <w:pPr>
              <w:keepNext w:val="0"/>
              <w:keepLines w:val="0"/>
              <w:pageBreakBefore w:val="0"/>
              <w:widowControl/>
              <w:kinsoku/>
              <w:wordWrap/>
              <w:overflowPunct/>
              <w:topLinePunct w:val="0"/>
              <w:autoSpaceDE/>
              <w:autoSpaceDN/>
              <w:bidi w:val="0"/>
              <w:adjustRightInd/>
              <w:snapToGrid/>
              <w:spacing w:after="157" w:afterLines="50" w:line="480" w:lineRule="auto"/>
              <w:jc w:val="both"/>
              <w:textAlignment w:val="auto"/>
              <w:rPr>
                <w:rFonts w:hint="eastAsia" w:ascii="宋体" w:hAnsi="宋体" w:eastAsia="宋体" w:cs="宋体"/>
                <w:sz w:val="21"/>
                <w:szCs w:val="21"/>
                <w:lang w:val="en-US" w:eastAsia="zh-CN"/>
              </w:rPr>
            </w:pPr>
          </w:p>
        </w:tc>
        <w:tc>
          <w:tcPr>
            <w:tcW w:w="855" w:type="dxa"/>
            <w:shd w:val="clear" w:color="auto" w:fill="auto"/>
            <w:vAlign w:val="top"/>
          </w:tcPr>
          <w:p>
            <w:pPr>
              <w:keepNext w:val="0"/>
              <w:keepLines w:val="0"/>
              <w:pageBreakBefore w:val="0"/>
              <w:widowControl/>
              <w:kinsoku/>
              <w:wordWrap/>
              <w:overflowPunct/>
              <w:topLinePunct w:val="0"/>
              <w:autoSpaceDE/>
              <w:autoSpaceDN/>
              <w:bidi w:val="0"/>
              <w:adjustRightInd/>
              <w:snapToGrid/>
              <w:spacing w:after="157" w:afterLines="50" w:line="480" w:lineRule="auto"/>
              <w:jc w:val="both"/>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2340" w:type="dxa"/>
            <w:gridSpan w:val="4"/>
            <w:shd w:val="clear" w:color="auto" w:fill="auto"/>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合计</w:t>
            </w:r>
          </w:p>
        </w:tc>
        <w:tc>
          <w:tcPr>
            <w:tcW w:w="915" w:type="dxa"/>
            <w:shd w:val="clear" w:color="auto" w:fill="auto"/>
            <w:vAlign w:val="top"/>
          </w:tcPr>
          <w:p>
            <w:pPr>
              <w:keepNext w:val="0"/>
              <w:keepLines w:val="0"/>
              <w:pageBreakBefore w:val="0"/>
              <w:widowControl/>
              <w:kinsoku/>
              <w:wordWrap/>
              <w:overflowPunct/>
              <w:topLinePunct w:val="0"/>
              <w:autoSpaceDE/>
              <w:autoSpaceDN/>
              <w:bidi w:val="0"/>
              <w:adjustRightInd/>
              <w:snapToGrid/>
              <w:spacing w:after="157" w:afterLines="50" w:line="480" w:lineRule="auto"/>
              <w:jc w:val="both"/>
              <w:textAlignment w:val="auto"/>
              <w:rPr>
                <w:rFonts w:hint="eastAsia" w:ascii="宋体" w:hAnsi="宋体" w:eastAsia="宋体" w:cs="宋体"/>
                <w:sz w:val="21"/>
                <w:szCs w:val="21"/>
                <w:lang w:val="en-US" w:eastAsia="zh-CN"/>
              </w:rPr>
            </w:pPr>
          </w:p>
        </w:tc>
        <w:tc>
          <w:tcPr>
            <w:tcW w:w="855" w:type="dxa"/>
            <w:shd w:val="clear" w:color="auto" w:fill="auto"/>
            <w:vAlign w:val="top"/>
          </w:tcPr>
          <w:p>
            <w:pPr>
              <w:keepNext w:val="0"/>
              <w:keepLines w:val="0"/>
              <w:pageBreakBefore w:val="0"/>
              <w:widowControl/>
              <w:kinsoku/>
              <w:wordWrap/>
              <w:overflowPunct/>
              <w:topLinePunct w:val="0"/>
              <w:autoSpaceDE/>
              <w:autoSpaceDN/>
              <w:bidi w:val="0"/>
              <w:adjustRightInd/>
              <w:snapToGrid/>
              <w:spacing w:after="157" w:afterLines="50" w:line="480" w:lineRule="auto"/>
              <w:jc w:val="both"/>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070" w:type="dxa"/>
            <w:gridSpan w:val="3"/>
            <w:shd w:val="clear" w:color="auto" w:fill="auto"/>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评审人：</w:t>
            </w:r>
          </w:p>
        </w:tc>
        <w:tc>
          <w:tcPr>
            <w:tcW w:w="8040"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after="157" w:afterLines="50" w:line="48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评审日期：</w:t>
            </w:r>
          </w:p>
        </w:tc>
      </w:tr>
    </w:tbl>
    <w:p>
      <w:pPr>
        <w:rPr>
          <w:rFonts w:hint="eastAsia" w:ascii="仿宋" w:hAnsi="仿宋" w:eastAsia="仿宋"/>
          <w:sz w:val="24"/>
          <w:szCs w:val="24"/>
        </w:rPr>
      </w:pPr>
      <w:r>
        <w:rPr>
          <w:rFonts w:hint="eastAsia" w:ascii="仿宋" w:hAnsi="仿宋" w:eastAsia="仿宋"/>
          <w:sz w:val="24"/>
          <w:szCs w:val="24"/>
        </w:rPr>
        <w:t xml:space="preserve">                      </w:t>
      </w:r>
    </w:p>
    <w:p>
      <w:pPr>
        <w:rPr>
          <w:rFonts w:hint="eastAsia" w:ascii="仿宋" w:hAnsi="仿宋" w:eastAsia="仿宋"/>
          <w:sz w:val="24"/>
          <w:szCs w:val="24"/>
        </w:rPr>
      </w:pPr>
    </w:p>
    <w:p>
      <w:pPr>
        <w:rPr>
          <w:rFonts w:hint="eastAsia" w:ascii="仿宋" w:hAnsi="仿宋" w:eastAsia="仿宋"/>
          <w:sz w:val="24"/>
          <w:szCs w:val="24"/>
        </w:rPr>
      </w:pPr>
    </w:p>
    <w:p/>
    <w:sectPr>
      <w:footerReference r:id="rId3" w:type="default"/>
      <w:pgSz w:w="16838" w:h="11906" w:orient="landscape"/>
      <w:pgMar w:top="1247" w:right="1417" w:bottom="124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2NDhiNTAwN2UxMzZjMTMwMzliY2RkMGRjZTZlNjkifQ=="/>
    <w:docVar w:name="KSO_WPS_MARK_KEY" w:val="ef314b09-d096-4b9c-95b5-cba7c934f91c"/>
  </w:docVars>
  <w:rsids>
    <w:rsidRoot w:val="00000000"/>
    <w:rsid w:val="067C1834"/>
    <w:rsid w:val="18BC5042"/>
    <w:rsid w:val="28F35E57"/>
    <w:rsid w:val="2B333229"/>
    <w:rsid w:val="2F5C2D21"/>
    <w:rsid w:val="2FC23967"/>
    <w:rsid w:val="338576D5"/>
    <w:rsid w:val="395E5EC7"/>
    <w:rsid w:val="56A63F53"/>
    <w:rsid w:val="58651AED"/>
    <w:rsid w:val="5C1C6A39"/>
    <w:rsid w:val="607B786F"/>
    <w:rsid w:val="617554CC"/>
    <w:rsid w:val="76B97688"/>
    <w:rsid w:val="7F8B4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935</Words>
  <Characters>955</Characters>
  <Lines>0</Lines>
  <Paragraphs>0</Paragraphs>
  <TotalTime>3</TotalTime>
  <ScaleCrop>false</ScaleCrop>
  <LinksUpToDate>false</LinksUpToDate>
  <CharactersWithSpaces>977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2024-04-03T01:26:00Z</dcterms:created>
  <dc:creator>Administrator</dc:creator>
  <cp:lastModifiedBy>Blue sky</cp:lastModifiedBy>
  <dcterms:modified xsi:type="dcterms:W3CDTF">2024-04-12T03:55:08Z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8E4227E9A72D409CA89470CFAE87B735</vt:lpwstr>
  </property>
</Properties>
</file>